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E3F1" w14:textId="77777777" w:rsidR="00685AA5" w:rsidRPr="003319F6" w:rsidRDefault="00685AA5" w:rsidP="00685AA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34"/>
          <w:szCs w:val="34"/>
          <w:vertAlign w:val="superscript"/>
          <w:lang w:val="en-US"/>
        </w:rPr>
      </w:pPr>
    </w:p>
    <w:p w14:paraId="288A0D5E" w14:textId="63ABCD8B" w:rsidR="009C59FB" w:rsidRPr="003319F6" w:rsidRDefault="0048083E" w:rsidP="000A7BE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</w:pPr>
      <w:r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  <w:t>Nana-Afr</w:t>
      </w:r>
      <w:r w:rsidR="00F23C1F"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  <w:t xml:space="preserve">iyie </w:t>
      </w:r>
      <w:r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  <w:t xml:space="preserve"> Osei-Poku</w:t>
      </w:r>
    </w:p>
    <w:p w14:paraId="43EC4867" w14:textId="12FCEE4A" w:rsidR="00685AA5" w:rsidRDefault="00BF7A28" w:rsidP="00A9712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</w:pPr>
      <w:r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  <w:t>571-447-1911</w:t>
      </w:r>
    </w:p>
    <w:p w14:paraId="0C4E5352" w14:textId="6865B6E3" w:rsidR="00A97121" w:rsidRPr="003319F6" w:rsidRDefault="00A97121" w:rsidP="00A9712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</w:pPr>
      <w:r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  <w:t>NAG.MYAA@</w:t>
      </w:r>
      <w:r w:rsidR="00A369A1"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  <w:t>GMAIL</w:t>
      </w:r>
      <w:r w:rsidR="005030E9">
        <w:rPr>
          <w:rFonts w:ascii="Times New Roman" w:hAnsi="Times New Roman"/>
          <w:smallCaps/>
          <w:color w:val="000000" w:themeColor="text1"/>
          <w:sz w:val="34"/>
          <w:szCs w:val="34"/>
          <w:vertAlign w:val="superscript"/>
        </w:rPr>
        <w:t>.COM</w:t>
      </w:r>
    </w:p>
    <w:p w14:paraId="5AA2651E" w14:textId="77777777" w:rsidR="00685AA5" w:rsidRPr="003319F6" w:rsidRDefault="00685AA5" w:rsidP="00685AA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color w:val="000000" w:themeColor="text1"/>
          <w:sz w:val="34"/>
          <w:szCs w:val="34"/>
          <w:vertAlign w:val="superscript"/>
          <w:lang w:val="en-US"/>
        </w:rPr>
      </w:pPr>
    </w:p>
    <w:tbl>
      <w:tblPr>
        <w:tblStyle w:val="TableGrid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038"/>
        <w:gridCol w:w="7185"/>
      </w:tblGrid>
      <w:tr w:rsidR="00C43DF7" w:rsidRPr="003319F6" w14:paraId="5EF0410A" w14:textId="77777777" w:rsidTr="008544D2">
        <w:trPr>
          <w:trHeight w:val="1479"/>
        </w:trPr>
        <w:tc>
          <w:tcPr>
            <w:tcW w:w="1965" w:type="dxa"/>
          </w:tcPr>
          <w:p w14:paraId="230E179A" w14:textId="77777777" w:rsidR="00685AA5" w:rsidRPr="003319F6" w:rsidRDefault="00685AA5" w:rsidP="008544D2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  <w:sz w:val="34"/>
                <w:szCs w:val="34"/>
                <w:vertAlign w:val="superscript"/>
              </w:rPr>
            </w:pPr>
            <w:r w:rsidRPr="003319F6">
              <w:rPr>
                <w:rFonts w:ascii="Times New Roman" w:hAnsi="Times New Roman" w:cs="Times New Roman"/>
                <w:color w:val="000000" w:themeColor="text1"/>
                <w:sz w:val="34"/>
                <w:szCs w:val="34"/>
                <w:vertAlign w:val="superscript"/>
              </w:rPr>
              <w:t>OBJECTIVES</w:t>
            </w:r>
          </w:p>
        </w:tc>
        <w:tc>
          <w:tcPr>
            <w:tcW w:w="6929" w:type="dxa"/>
          </w:tcPr>
          <w:p w14:paraId="6EAC3167" w14:textId="73B57F60" w:rsidR="00685AA5" w:rsidRPr="003319F6" w:rsidRDefault="00685AA5" w:rsidP="008544D2">
            <w:pPr>
              <w:spacing w:after="180"/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</w:pPr>
            <w:r w:rsidRPr="003319F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 xml:space="preserve">Seeking an Information </w:t>
            </w:r>
            <w:r w:rsidR="003C0DF1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 xml:space="preserve">Security Analyst position </w:t>
            </w:r>
            <w:r w:rsidR="00932D9E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 xml:space="preserve">in a growth-oriented </w:t>
            </w:r>
            <w:r w:rsidR="00281E60" w:rsidRPr="003319F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>organisation</w:t>
            </w:r>
            <w:r w:rsidRPr="003319F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 xml:space="preserve"> with focus on FISMA, System Security Monitoring, Risk Assessments,</w:t>
            </w:r>
            <w:r w:rsidR="00E47657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 xml:space="preserve"> Audit engagements</w:t>
            </w:r>
            <w:r w:rsidRPr="003319F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 xml:space="preserve">,Testing Information </w:t>
            </w:r>
            <w:r w:rsidR="0027389D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 xml:space="preserve">Security </w:t>
            </w:r>
            <w:r w:rsidRPr="003319F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>Controls and Developing Security Policies, Procedures and Guidelines.</w:t>
            </w:r>
          </w:p>
        </w:tc>
      </w:tr>
      <w:tr w:rsidR="00685AA5" w:rsidRPr="003319F6" w14:paraId="6A6AF273" w14:textId="77777777" w:rsidTr="008544D2">
        <w:trPr>
          <w:trHeight w:val="2166"/>
        </w:trPr>
        <w:tc>
          <w:tcPr>
            <w:tcW w:w="1965" w:type="dxa"/>
          </w:tcPr>
          <w:p w14:paraId="41FC09F4" w14:textId="77777777" w:rsidR="00685AA5" w:rsidRPr="003319F6" w:rsidRDefault="00685AA5" w:rsidP="008544D2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  <w:sz w:val="34"/>
                <w:szCs w:val="34"/>
                <w:vertAlign w:val="superscript"/>
              </w:rPr>
            </w:pPr>
            <w:r w:rsidRPr="003319F6">
              <w:rPr>
                <w:rFonts w:ascii="Times New Roman" w:hAnsi="Times New Roman" w:cs="Times New Roman"/>
                <w:color w:val="000000" w:themeColor="text1"/>
                <w:sz w:val="34"/>
                <w:szCs w:val="34"/>
                <w:vertAlign w:val="superscript"/>
              </w:rPr>
              <w:t>SKILLS &amp; ABILITIES</w:t>
            </w:r>
          </w:p>
        </w:tc>
        <w:tc>
          <w:tcPr>
            <w:tcW w:w="6929" w:type="dxa"/>
          </w:tcPr>
          <w:p w14:paraId="7D16B000" w14:textId="48F8DC33" w:rsidR="00685AA5" w:rsidRPr="003319F6" w:rsidRDefault="00685AA5" w:rsidP="008544D2">
            <w:pPr>
              <w:spacing w:after="180"/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</w:pPr>
            <w:r w:rsidRPr="003319F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>Ability to work effectively in teams, both as member and a leader. Excellent written and verbal communication skills. Detailed oriented. Strong analytical skills. Windows/ FISMA/ ST&amp;E/ SA&amp;A/ SSP/ SAP/ NIST SP 800 series Rev I. Vol. II (800-53A Rev. 4/ 800-37/ 800-60) FIBS 199/200 RMF</w:t>
            </w:r>
            <w:r w:rsidR="006E3BA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 xml:space="preserve"> </w:t>
            </w:r>
            <w:r w:rsidRPr="003319F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>/ ISO frameworks/  Wireless Network, Microsoft Word/ Excel/ Project/ Access, PowerPoint</w:t>
            </w:r>
            <w:r w:rsidR="00246D2B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>,RiskVis</w:t>
            </w:r>
            <w:r w:rsidR="009520D6">
              <w:rPr>
                <w:rFonts w:ascii="Times New Roman" w:hAnsi="Times New Roman"/>
                <w:color w:val="000000" w:themeColor="text1"/>
                <w:sz w:val="34"/>
                <w:szCs w:val="34"/>
                <w:vertAlign w:val="superscript"/>
              </w:rPr>
              <w:t>ion / eMass</w:t>
            </w:r>
          </w:p>
        </w:tc>
      </w:tr>
    </w:tbl>
    <w:p w14:paraId="23E408C2" w14:textId="1F708AAA" w:rsidR="00685AA5" w:rsidRDefault="00685AA5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3B84632A" w14:textId="455D47DB" w:rsidR="00D1440E" w:rsidRDefault="00D1440E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269A787F" w14:textId="0F0D751C" w:rsidR="00F00C48" w:rsidRDefault="00F00C48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125265E7" w14:textId="7E1C0144" w:rsidR="00F00C48" w:rsidRDefault="00F00C48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1369904E" w14:textId="77777777" w:rsidR="00F00C48" w:rsidRDefault="00F00C48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1E2415E7" w14:textId="6968FDB5" w:rsidR="00D1440E" w:rsidRDefault="00D1440E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7BD9EAD5" w14:textId="7212E4A9" w:rsidR="00D1440E" w:rsidRDefault="00D1440E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59DB2E30" w14:textId="77777777" w:rsidR="00D1440E" w:rsidRPr="003319F6" w:rsidRDefault="00D1440E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58CAB98D" w14:textId="7EED3794" w:rsidR="00A57057" w:rsidRPr="005B60C6" w:rsidRDefault="00685AA5" w:rsidP="00115A74">
      <w:pPr>
        <w:jc w:val="both"/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</w:pPr>
      <w:r w:rsidRPr="003319F6">
        <w:rPr>
          <w:rFonts w:ascii="Times New Roman" w:hAnsi="Times New Roman"/>
          <w:bCs/>
          <w:snapToGrid w:val="0"/>
          <w:color w:val="000000" w:themeColor="text1"/>
          <w:sz w:val="34"/>
          <w:szCs w:val="34"/>
          <w:u w:val="single"/>
          <w:vertAlign w:val="superscript"/>
        </w:rPr>
        <w:lastRenderedPageBreak/>
        <w:t xml:space="preserve"> EXPERIENCE </w:t>
      </w:r>
      <w:r w:rsidR="00757AC1" w:rsidRPr="00757AC1">
        <w:rPr>
          <w:rFonts w:ascii="Times New Roman" w:eastAsiaTheme="minorEastAsia" w:hAnsi="Times New Roman"/>
          <w:bCs/>
          <w:color w:val="000000" w:themeColor="text1"/>
          <w:sz w:val="34"/>
          <w:szCs w:val="34"/>
          <w:vertAlign w:val="superscript"/>
          <w:lang w:val="en-US"/>
        </w:rPr>
        <w:br/>
      </w:r>
      <w:r w:rsidR="00BA42AE">
        <w:rPr>
          <w:rFonts w:ascii="Times New Roman" w:eastAsiaTheme="minorEastAsia" w:hAnsi="Times New Roman"/>
          <w:bCs/>
          <w:color w:val="000000" w:themeColor="text1"/>
          <w:sz w:val="34"/>
          <w:szCs w:val="34"/>
          <w:vertAlign w:val="superscript"/>
          <w:lang w:val="en-US"/>
        </w:rPr>
        <w:t xml:space="preserve"> </w:t>
      </w:r>
      <w:r w:rsidR="001F5610">
        <w:rPr>
          <w:rFonts w:ascii="Times New Roman" w:eastAsiaTheme="minorEastAsia" w:hAnsi="Times New Roman"/>
          <w:bCs/>
          <w:color w:val="000000" w:themeColor="text1"/>
          <w:sz w:val="34"/>
          <w:szCs w:val="34"/>
          <w:vertAlign w:val="superscript"/>
          <w:lang w:val="en-US"/>
        </w:rPr>
        <w:t xml:space="preserve">VIRGINIA </w:t>
      </w:r>
      <w:r w:rsidR="00840C59">
        <w:rPr>
          <w:rFonts w:ascii="Times New Roman" w:eastAsiaTheme="minorEastAsia" w:hAnsi="Times New Roman"/>
          <w:bCs/>
          <w:color w:val="000000" w:themeColor="text1"/>
          <w:sz w:val="34"/>
          <w:szCs w:val="34"/>
          <w:vertAlign w:val="superscript"/>
          <w:lang w:val="en-US"/>
        </w:rPr>
        <w:t xml:space="preserve">HOSPITAL </w:t>
      </w:r>
      <w:r w:rsidR="00BC7963">
        <w:rPr>
          <w:rFonts w:ascii="Times New Roman" w:eastAsiaTheme="minorEastAsia" w:hAnsi="Times New Roman"/>
          <w:bCs/>
          <w:color w:val="000000" w:themeColor="text1"/>
          <w:sz w:val="34"/>
          <w:szCs w:val="34"/>
          <w:vertAlign w:val="superscript"/>
          <w:lang w:val="en-US"/>
        </w:rPr>
        <w:t>-</w:t>
      </w:r>
      <w:r w:rsidR="007E2979">
        <w:rPr>
          <w:rFonts w:ascii="Times New Roman" w:eastAsiaTheme="minorEastAsia" w:hAnsi="Times New Roman"/>
          <w:bCs/>
          <w:color w:val="000000" w:themeColor="text1"/>
          <w:sz w:val="34"/>
          <w:szCs w:val="34"/>
          <w:vertAlign w:val="superscript"/>
          <w:lang w:val="en-US"/>
        </w:rPr>
        <w:t xml:space="preserve"> </w:t>
      </w:r>
      <w:r w:rsidR="00321AE2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 xml:space="preserve">Sr. INFORMATION SECURITY ANALYST </w:t>
      </w:r>
      <w:r w:rsidR="00A23FBB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 xml:space="preserve">– </w:t>
      </w:r>
      <w:r w:rsidR="00FF6C67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 xml:space="preserve">VIRGINIA </w:t>
      </w:r>
      <w:r w:rsidR="00CF32E6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 xml:space="preserve"> </w:t>
      </w:r>
      <w:r w:rsidR="004D2BEC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>(</w:t>
      </w:r>
      <w:r w:rsidR="00506192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>CONTRACT)</w:t>
      </w:r>
    </w:p>
    <w:p w14:paraId="1B4FBB50" w14:textId="5FEEB8EF" w:rsidR="00757AC1" w:rsidRPr="00757AC1" w:rsidRDefault="00587EE4" w:rsidP="00757AC1">
      <w:pPr>
        <w:spacing w:after="0" w:line="240" w:lineRule="auto"/>
        <w:divId w:val="497306338"/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</w:pPr>
      <w:r w:rsidRPr="003319F6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>FEB</w:t>
      </w:r>
      <w:r w:rsidR="00522402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 xml:space="preserve"> 20</w:t>
      </w:r>
      <w:r w:rsidRPr="003319F6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 xml:space="preserve">17 </w:t>
      </w:r>
      <w:r w:rsidR="000A7BE1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>– Till Date</w:t>
      </w:r>
    </w:p>
    <w:p w14:paraId="51F66769" w14:textId="33209209" w:rsidR="003319F6" w:rsidRPr="003319F6" w:rsidRDefault="00757AC1" w:rsidP="003319F6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Conducts security assessment and IT Security documentation to determine the Security posture of the System in</w:t>
      </w:r>
      <w:r w:rsidR="00B90E24"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="005B5F20"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="001D318A" w:rsidRPr="00757AC1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line with NIST Risk Management Framework</w:t>
      </w:r>
      <w:r w:rsidR="0046585D"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RMF) and associated federal governance and policies.</w:t>
      </w:r>
    </w:p>
    <w:p w14:paraId="7F55FB44" w14:textId="45DF995A" w:rsidR="00757AC1" w:rsidRPr="003319F6" w:rsidRDefault="00757AC1" w:rsidP="00757AC1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Reviews and develops IT Risk Cyber security programs, policies and procedures using industry frameworks</w:t>
      </w:r>
      <w:r w:rsidR="00F54C4D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(</w:t>
      </w: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NIST</w:t>
      </w:r>
      <w:r w:rsidR="00E853B3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AND </w:t>
      </w: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HIPAA</w:t>
      </w:r>
      <w:r w:rsidR="00E853B3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 )</w:t>
      </w:r>
    </w:p>
    <w:p w14:paraId="2095666D" w14:textId="1B884546" w:rsidR="00757AC1" w:rsidRPr="003319F6" w:rsidRDefault="00757AC1" w:rsidP="005B5F20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Works with business units and third parties to evaluate the risk of vendor relationships.</w:t>
      </w:r>
    </w:p>
    <w:p w14:paraId="1E872DDB" w14:textId="1BB36D35" w:rsidR="00757AC1" w:rsidRPr="003319F6" w:rsidRDefault="00757AC1" w:rsidP="002B36D4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Performs risk assessments on third parties and translate IT risks into business risks.</w:t>
      </w:r>
    </w:p>
    <w:p w14:paraId="42F6DE42" w14:textId="35CCEDE9" w:rsidR="00757AC1" w:rsidRPr="003319F6" w:rsidRDefault="00757AC1" w:rsidP="002B36D4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Documents identified risks and follow up on remediation activities through completion.</w:t>
      </w:r>
    </w:p>
    <w:p w14:paraId="13B9708E" w14:textId="797179CD" w:rsidR="00757AC1" w:rsidRPr="003319F6" w:rsidRDefault="00757AC1" w:rsidP="00A54547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Translates cyber risk into business risks and communicate this to business units</w:t>
      </w:r>
    </w:p>
    <w:p w14:paraId="4C1FC49D" w14:textId="5D9FBC71" w:rsidR="00757AC1" w:rsidRPr="003319F6" w:rsidRDefault="00757AC1" w:rsidP="000E6FCA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Uses GRC tools to effectively manages user provisioning to guide against violation of SOD and Least Privileges.</w:t>
      </w:r>
    </w:p>
    <w:p w14:paraId="48BFB0D3" w14:textId="77777777" w:rsidR="00EB39D9" w:rsidRPr="003319F6" w:rsidRDefault="00757AC1" w:rsidP="00757AC1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Provides ERP audit remediation to resolve segregation of duties violations (SOD) in end user roles.Password reset,Validity date extensions upon approvals for users.</w:t>
      </w:r>
    </w:p>
    <w:p w14:paraId="66E31C38" w14:textId="77777777" w:rsidR="00EB39D9" w:rsidRPr="003319F6" w:rsidRDefault="00757AC1" w:rsidP="00757AC1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Resolves complex problems requiring detailed knowledge of ERP security configuration and development.</w:t>
      </w:r>
    </w:p>
    <w:p w14:paraId="35F8D0B9" w14:textId="77777777" w:rsidR="00EB39D9" w:rsidRPr="003319F6" w:rsidRDefault="00757AC1" w:rsidP="00757AC1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Working on missing authorizations for the Business users.</w:t>
      </w:r>
    </w:p>
    <w:p w14:paraId="4465E1B1" w14:textId="77777777" w:rsidR="00EB39D9" w:rsidRPr="003319F6" w:rsidRDefault="00757AC1" w:rsidP="00757AC1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Identify, analyze and monitor IT control gaps and perform the documentation, implementation and testing of the</w:t>
      </w:r>
      <w:r w:rsidR="00EB39D9"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entire IT security control compliance across VA.</w:t>
      </w:r>
    </w:p>
    <w:p w14:paraId="17F82A44" w14:textId="77777777" w:rsidR="00F24198" w:rsidRPr="003319F6" w:rsidRDefault="00757AC1" w:rsidP="00757AC1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Gathers and reviews artifacts to develop Authorization packages (SSP, SAR and POA&amp;MS) for information system</w:t>
      </w:r>
      <w:r w:rsidR="00F24198"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to be granted ATO.</w:t>
      </w:r>
    </w:p>
    <w:p w14:paraId="6187E1A8" w14:textId="77777777" w:rsidR="00F24198" w:rsidRPr="003319F6" w:rsidRDefault="00757AC1" w:rsidP="00757AC1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Review and Assess privacy controls in compliance with Privacy Impact Assessment (PIA) and Privacy Threshold</w:t>
      </w:r>
      <w:r w:rsidR="00F24198"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Analysis (PTA) using NIST 800-53.</w:t>
      </w:r>
    </w:p>
    <w:p w14:paraId="276CA9B9" w14:textId="79ACD8B8" w:rsidR="00757AC1" w:rsidRPr="003319F6" w:rsidRDefault="00757AC1" w:rsidP="00757AC1">
      <w:pPr>
        <w:pStyle w:val="ListParagraph"/>
        <w:numPr>
          <w:ilvl w:val="0"/>
          <w:numId w:val="8"/>
        </w:numPr>
        <w:spacing w:after="0" w:line="240" w:lineRule="auto"/>
        <w:divId w:val="497306338"/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Conduct Information System Contingency Plan (ISCP) Table top exercise annually in line with Business Continuity</w:t>
      </w:r>
      <w:r w:rsidR="00F24198"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Pr="003319F6">
        <w:rPr>
          <w:rFonts w:ascii="Times New Roman" w:eastAsiaTheme="minorEastAsia" w:hAnsi="Times New Roman" w:cs="Times New Roman"/>
          <w:color w:val="000000" w:themeColor="text1"/>
          <w:sz w:val="34"/>
          <w:szCs w:val="34"/>
          <w:vertAlign w:val="superscript"/>
        </w:rPr>
        <w:t>Plan (BCP)</w:t>
      </w:r>
    </w:p>
    <w:p w14:paraId="7702F2C4" w14:textId="47284702" w:rsidR="00F24198" w:rsidRPr="003319F6" w:rsidRDefault="00757AC1" w:rsidP="00F24198">
      <w:pPr>
        <w:spacing w:after="0" w:line="240" w:lineRule="auto"/>
        <w:divId w:val="497306338"/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</w:pPr>
      <w:r w:rsidRPr="00757AC1">
        <w:rPr>
          <w:rFonts w:ascii="Times New Roman" w:eastAsiaTheme="minorEastAsia" w:hAnsi="Times New Roman"/>
          <w:color w:val="000000" w:themeColor="text1"/>
          <w:sz w:val="34"/>
          <w:szCs w:val="34"/>
          <w:vertAlign w:val="superscript"/>
          <w:lang w:val="en-US"/>
        </w:rPr>
        <w:t> </w:t>
      </w:r>
    </w:p>
    <w:p w14:paraId="5AE57416" w14:textId="77777777" w:rsidR="00A46C78" w:rsidRPr="003319F6" w:rsidRDefault="00A46C78" w:rsidP="00685AA5">
      <w:pPr>
        <w:jc w:val="both"/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</w:pPr>
    </w:p>
    <w:p w14:paraId="32005C97" w14:textId="7118B4A5" w:rsidR="00685AA5" w:rsidRPr="003319F6" w:rsidRDefault="00EF742E" w:rsidP="00685AA5">
      <w:pPr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  <w:r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lastRenderedPageBreak/>
        <w:t>AT&amp;T</w:t>
      </w:r>
      <w:r w:rsidR="00A60671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 </w:t>
      </w:r>
      <w:r w:rsidR="009B227E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 </w:t>
      </w:r>
      <w:r w:rsidR="00685AA5"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>-</w:t>
      </w:r>
      <w:r w:rsidR="0059175B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 </w:t>
      </w:r>
      <w:r w:rsidR="00685AA5" w:rsidRPr="003319F6">
        <w:rPr>
          <w:rFonts w:ascii="Times New Roman" w:eastAsiaTheme="minorHAnsi" w:hAnsi="Times New Roman"/>
          <w:color w:val="000000" w:themeColor="text1"/>
          <w:sz w:val="34"/>
          <w:szCs w:val="34"/>
          <w:vertAlign w:val="superscript"/>
          <w:lang w:val="en-US"/>
        </w:rPr>
        <w:t>SECURITY CONTROL ASSESSOR</w:t>
      </w:r>
      <w:r w:rsidR="00685AA5"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 (</w:t>
      </w:r>
      <w:r w:rsidR="00F5149C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>CONTRACT)</w:t>
      </w:r>
      <w:r w:rsidR="00685AA5"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>)</w:t>
      </w:r>
      <w:r w:rsidR="007F511C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 FAIRFAX, VA</w:t>
      </w:r>
      <w:r w:rsidR="00685AA5"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ab/>
      </w:r>
      <w:r w:rsidR="00685AA5"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ab/>
      </w:r>
      <w:r w:rsidR="00685AA5"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ab/>
        <w:t xml:space="preserve"> AUG 2015</w:t>
      </w:r>
      <w:r w:rsidR="00786362"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 </w:t>
      </w:r>
      <w:r w:rsidR="006F57CF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- </w:t>
      </w:r>
      <w:r w:rsidR="00786362"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>FEB 2017</w:t>
      </w:r>
    </w:p>
    <w:p w14:paraId="52ECE27F" w14:textId="77777777" w:rsidR="00685AA5" w:rsidRPr="003319F6" w:rsidRDefault="00685AA5" w:rsidP="00685A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Perform technical analysis and review of cyber security artifacts (SSP/ PIA/ PTA). </w:t>
      </w:r>
    </w:p>
    <w:p w14:paraId="64BA1394" w14:textId="77777777" w:rsidR="00685AA5" w:rsidRPr="003319F6" w:rsidRDefault="00685AA5" w:rsidP="00685A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Analyze and advise on the risk and remediation of security issues based on reports from vulnerability assessment. </w:t>
      </w:r>
    </w:p>
    <w:p w14:paraId="518DEEC1" w14:textId="77777777" w:rsidR="00685AA5" w:rsidRPr="003319F6" w:rsidRDefault="00685AA5" w:rsidP="00685A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Assess general and application controls using the NIST SP 800 (i.e. 800-53 rev. 4) series guidance to produce Security Authorization documentation for the General Support Systems, Major Applications and Minor Applications and FISMA. </w:t>
      </w:r>
    </w:p>
    <w:p w14:paraId="4D0D41B9" w14:textId="77777777" w:rsidR="00685AA5" w:rsidRPr="003319F6" w:rsidRDefault="00685AA5" w:rsidP="00685A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Generate risk reports on all assessment findings based upon NIST 800-30. * Create testing methodologies for security control assessment program. </w:t>
      </w:r>
    </w:p>
    <w:p w14:paraId="109F275C" w14:textId="77777777" w:rsidR="00685AA5" w:rsidRPr="003319F6" w:rsidRDefault="00685AA5" w:rsidP="00685A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Identify risks associated with IT infrastructure, operations and applications. </w:t>
      </w:r>
    </w:p>
    <w:p w14:paraId="44B59D08" w14:textId="77777777" w:rsidR="00685AA5" w:rsidRPr="003319F6" w:rsidRDefault="00685AA5" w:rsidP="00685A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Identify and communicate IT audit findings to senior management and clients. </w:t>
      </w:r>
    </w:p>
    <w:p w14:paraId="065626FC" w14:textId="77777777" w:rsidR="00685AA5" w:rsidRPr="003319F6" w:rsidRDefault="00685AA5" w:rsidP="00685A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Collaborate with Team Lead of other FISMA systems to ensure continued compliance with security control inheritance conditions. </w:t>
      </w:r>
    </w:p>
    <w:p w14:paraId="32223451" w14:textId="77777777" w:rsidR="00685AA5" w:rsidRPr="003319F6" w:rsidRDefault="00724543" w:rsidP="00685A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Provide</w:t>
      </w:r>
      <w:r w:rsidR="00685AA5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 best practices on how to efficiently and effectively audit the access controls and configuration management controls.</w:t>
      </w:r>
    </w:p>
    <w:p w14:paraId="653DC5B0" w14:textId="77777777" w:rsidR="00685AA5" w:rsidRPr="003319F6" w:rsidRDefault="00685AA5" w:rsidP="00685AA5">
      <w:pPr>
        <w:autoSpaceDE w:val="0"/>
        <w:autoSpaceDN w:val="0"/>
        <w:spacing w:after="0"/>
        <w:jc w:val="both"/>
        <w:outlineLvl w:val="0"/>
        <w:rPr>
          <w:rStyle w:val="apple-converted-space"/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p w14:paraId="0DD5EEF8" w14:textId="702B32DD" w:rsidR="00685AA5" w:rsidRPr="003319F6" w:rsidRDefault="00CB26A8" w:rsidP="00685AA5">
      <w:pPr>
        <w:pStyle w:val="Heading3"/>
        <w:rPr>
          <w:rFonts w:ascii="Times New Roman" w:hAnsi="Times New Roman" w:cs="Times New Roman"/>
          <w:caps w:val="0"/>
          <w:color w:val="000000" w:themeColor="text1"/>
          <w:sz w:val="34"/>
          <w:szCs w:val="34"/>
          <w:vertAlign w:val="superscript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34"/>
          <w:szCs w:val="34"/>
          <w:vertAlign w:val="superscript"/>
        </w:rPr>
        <w:t>CAPITAL ONE BANK</w:t>
      </w:r>
      <w:r w:rsidR="00685AA5" w:rsidRPr="003319F6">
        <w:rPr>
          <w:rStyle w:val="Strong"/>
          <w:rFonts w:ascii="Times New Roman" w:hAnsi="Times New Roman" w:cs="Times New Roman"/>
          <w:b w:val="0"/>
          <w:color w:val="000000" w:themeColor="text1"/>
          <w:sz w:val="34"/>
          <w:szCs w:val="34"/>
          <w:vertAlign w:val="superscript"/>
        </w:rPr>
        <w:t>.</w:t>
      </w:r>
      <w:r w:rsidR="00641B09">
        <w:rPr>
          <w:rStyle w:val="Strong"/>
          <w:rFonts w:ascii="Times New Roman" w:hAnsi="Times New Roman" w:cs="Times New Roman"/>
          <w:b w:val="0"/>
          <w:color w:val="000000" w:themeColor="text1"/>
          <w:sz w:val="34"/>
          <w:szCs w:val="34"/>
          <w:vertAlign w:val="superscript"/>
        </w:rPr>
        <w:t xml:space="preserve"> </w:t>
      </w:r>
      <w:r w:rsidR="00685AA5" w:rsidRPr="003319F6">
        <w:rPr>
          <w:rStyle w:val="Strong"/>
          <w:rFonts w:ascii="Times New Roman" w:hAnsi="Times New Roman" w:cs="Times New Roman"/>
          <w:b w:val="0"/>
          <w:color w:val="000000" w:themeColor="text1"/>
          <w:sz w:val="34"/>
          <w:szCs w:val="34"/>
          <w:vertAlign w:val="superscript"/>
        </w:rPr>
        <w:t>it SECURITY ANALYST</w:t>
      </w:r>
      <w:r w:rsidR="00685AA5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="00685AA5" w:rsidRPr="003319F6">
        <w:rPr>
          <w:rFonts w:ascii="Times New Roman" w:hAnsi="Times New Roman" w:cs="Times New Roman"/>
          <w:caps w:val="0"/>
          <w:color w:val="000000" w:themeColor="text1"/>
          <w:sz w:val="34"/>
          <w:szCs w:val="34"/>
          <w:vertAlign w:val="superscript"/>
        </w:rPr>
        <w:t>(</w:t>
      </w:r>
      <w:r w:rsidR="003A60A4">
        <w:rPr>
          <w:rFonts w:ascii="Times New Roman" w:hAnsi="Times New Roman" w:cs="Times New Roman"/>
          <w:caps w:val="0"/>
          <w:color w:val="000000" w:themeColor="text1"/>
          <w:sz w:val="34"/>
          <w:szCs w:val="34"/>
          <w:vertAlign w:val="superscript"/>
        </w:rPr>
        <w:t>CONTRACT</w:t>
      </w:r>
      <w:r w:rsidR="00685AA5" w:rsidRPr="003319F6">
        <w:rPr>
          <w:rFonts w:ascii="Times New Roman" w:hAnsi="Times New Roman" w:cs="Times New Roman"/>
          <w:caps w:val="0"/>
          <w:color w:val="000000" w:themeColor="text1"/>
          <w:sz w:val="34"/>
          <w:szCs w:val="34"/>
          <w:vertAlign w:val="superscript"/>
        </w:rPr>
        <w:t>)</w:t>
      </w:r>
      <w:r w:rsidR="007F511C">
        <w:rPr>
          <w:rFonts w:ascii="Times New Roman" w:hAnsi="Times New Roman" w:cs="Times New Roman"/>
          <w:caps w:val="0"/>
          <w:color w:val="000000" w:themeColor="text1"/>
          <w:sz w:val="34"/>
          <w:szCs w:val="34"/>
          <w:vertAlign w:val="superscript"/>
        </w:rPr>
        <w:t xml:space="preserve">- </w:t>
      </w:r>
      <w:r w:rsidR="003D7B1E">
        <w:rPr>
          <w:rFonts w:ascii="Times New Roman" w:hAnsi="Times New Roman" w:cs="Times New Roman"/>
          <w:caps w:val="0"/>
          <w:color w:val="000000" w:themeColor="text1"/>
          <w:sz w:val="34"/>
          <w:szCs w:val="34"/>
          <w:vertAlign w:val="superscript"/>
        </w:rPr>
        <w:t xml:space="preserve"> </w:t>
      </w:r>
      <w:r w:rsidR="00D73A42">
        <w:rPr>
          <w:rFonts w:ascii="Times New Roman" w:hAnsi="Times New Roman" w:cs="Times New Roman"/>
          <w:caps w:val="0"/>
          <w:color w:val="000000" w:themeColor="text1"/>
          <w:sz w:val="34"/>
          <w:szCs w:val="34"/>
          <w:vertAlign w:val="superscript"/>
        </w:rPr>
        <w:t xml:space="preserve">MARYLAND </w:t>
      </w:r>
    </w:p>
    <w:p w14:paraId="633D6780" w14:textId="2E0ADC07" w:rsidR="00685AA5" w:rsidRPr="003319F6" w:rsidRDefault="00685AA5" w:rsidP="00685AA5">
      <w:pPr>
        <w:pStyle w:val="Heading3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aps w:val="0"/>
          <w:color w:val="000000" w:themeColor="text1"/>
          <w:sz w:val="34"/>
          <w:szCs w:val="34"/>
          <w:vertAlign w:val="superscript"/>
        </w:rPr>
        <w:t xml:space="preserve"> </w:t>
      </w: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July 2013- </w:t>
      </w:r>
      <w:r w:rsidR="008C18A9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AU</w:t>
      </w:r>
      <w:r w:rsidR="00EE294F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G</w:t>
      </w:r>
      <w:r w:rsidR="00F72EE2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.2015</w:t>
      </w:r>
    </w:p>
    <w:p w14:paraId="45B8774F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Reviewed systems security plans to ensure that the plans in place meet the stated security requirements.</w:t>
      </w:r>
    </w:p>
    <w:p w14:paraId="50C5FB6C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Identified and selected baseline security control requirements for systems based on NIST SP 800-guidance.</w:t>
      </w:r>
    </w:p>
    <w:p w14:paraId="564B4363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Initiated, coordinated and tracked the security weaknesses as they were discovered (POA&amp;M).</w:t>
      </w:r>
    </w:p>
    <w:p w14:paraId="20650F0C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As a POA&amp;M Coordinator, I assisted by collecting documentation and evidentiary artifacts from stakeholders needed to close out POA&amp;M items.</w:t>
      </w:r>
    </w:p>
    <w:p w14:paraId="5FFF1048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I provided POA&amp;M quarterly reports to the ISSO on all the 8 Systems assigned to me.</w:t>
      </w:r>
    </w:p>
    <w:p w14:paraId="57207A96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lastRenderedPageBreak/>
        <w:t>Prepared, validated, and maintained security documentation. (SSP/ RA/ CP/ PIA/ FIPS Categorization)</w:t>
      </w:r>
    </w:p>
    <w:p w14:paraId="140BC3EE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Evaluated security and privacy controls to determine which are applicable to the system</w:t>
      </w:r>
    </w:p>
    <w:p w14:paraId="15D7496D" w14:textId="17E1B8D9" w:rsidR="00685AA5" w:rsidRPr="00321AE2" w:rsidRDefault="00685AA5" w:rsidP="00321AE2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Continuous monitoring and collected data on the system performance.</w:t>
      </w:r>
    </w:p>
    <w:p w14:paraId="3AEBB806" w14:textId="77777777" w:rsidR="009B5025" w:rsidRDefault="009B5025" w:rsidP="00685AA5">
      <w:pPr>
        <w:jc w:val="both"/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</w:pPr>
    </w:p>
    <w:p w14:paraId="0B7D893C" w14:textId="77777777" w:rsidR="009B5025" w:rsidRDefault="009B5025" w:rsidP="00685AA5">
      <w:pPr>
        <w:jc w:val="both"/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</w:pPr>
    </w:p>
    <w:p w14:paraId="7F28A359" w14:textId="16419F37" w:rsidR="00685AA5" w:rsidRPr="003319F6" w:rsidRDefault="001A6899" w:rsidP="00685AA5">
      <w:pPr>
        <w:jc w:val="both"/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</w:pPr>
      <w:r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 xml:space="preserve">BANK OF AMERICA </w:t>
      </w:r>
      <w:r w:rsidR="00685AA5" w:rsidRPr="003319F6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 xml:space="preserve">,– INFORMATION SECURITY COMPLAINT ANALYST  </w:t>
      </w:r>
      <w:r w:rsidR="005D623D" w:rsidRPr="003319F6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 xml:space="preserve">( </w:t>
      </w:r>
      <w:r w:rsidR="00A62B9D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 xml:space="preserve">CONTRACT </w:t>
      </w:r>
      <w:r w:rsidR="005D623D" w:rsidRPr="003319F6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>)</w:t>
      </w:r>
      <w:r w:rsidR="00BC26AE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 xml:space="preserve"> NY, NY</w:t>
      </w:r>
    </w:p>
    <w:p w14:paraId="550F9BD8" w14:textId="7F5D6394" w:rsidR="00685AA5" w:rsidRPr="003319F6" w:rsidRDefault="008C18A9" w:rsidP="00685AA5">
      <w:pPr>
        <w:jc w:val="both"/>
        <w:rPr>
          <w:rFonts w:ascii="Times New Roman" w:hAnsi="Times New Roman"/>
          <w:bCs/>
          <w:snapToGrid w:val="0"/>
          <w:color w:val="000000" w:themeColor="text1"/>
          <w:sz w:val="34"/>
          <w:szCs w:val="34"/>
          <w:u w:val="single"/>
          <w:vertAlign w:val="superscript"/>
        </w:rPr>
      </w:pPr>
      <w:r w:rsidRPr="003319F6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>OCT</w:t>
      </w:r>
      <w:r w:rsidR="00685AA5" w:rsidRPr="003319F6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>. 2011- JULY</w:t>
      </w:r>
      <w:r w:rsidR="0044633E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>.</w:t>
      </w:r>
      <w:r w:rsidR="00685AA5" w:rsidRPr="003319F6">
        <w:rPr>
          <w:rFonts w:ascii="Times New Roman" w:hAnsi="Times New Roman"/>
          <w:bCs/>
          <w:snapToGrid w:val="0"/>
          <w:color w:val="000000" w:themeColor="text1"/>
          <w:sz w:val="34"/>
          <w:szCs w:val="34"/>
          <w:vertAlign w:val="superscript"/>
        </w:rPr>
        <w:t xml:space="preserve"> 2013</w:t>
      </w:r>
    </w:p>
    <w:p w14:paraId="52DA99E4" w14:textId="77777777" w:rsidR="00685AA5" w:rsidRPr="003319F6" w:rsidRDefault="00724543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Performed </w:t>
      </w:r>
      <w:r w:rsidR="00685AA5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technical analysis and review of cyber security artifacts (SSP/ PIA/ PTA).</w:t>
      </w:r>
    </w:p>
    <w:p w14:paraId="274E934D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Analyze and advise on the risk and remediation of security issues based on reports from vulnerability assessment.</w:t>
      </w:r>
    </w:p>
    <w:p w14:paraId="0C75B1CA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Assess general and application controls using the NIST SP 800 (i.e. 800-53 rev. 4) series guidance to produce Security Authorization documentation for the General Support Systems, Major Applications and Minor Applications and FISMA.</w:t>
      </w:r>
    </w:p>
    <w:p w14:paraId="1A324A6F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Generate risk reports on all assessment findings based upon NIST 800-30.</w:t>
      </w:r>
    </w:p>
    <w:p w14:paraId="165E32B5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Create testing methodologies for security control assessment program.</w:t>
      </w:r>
    </w:p>
    <w:p w14:paraId="36CC0DF1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Identify risks associated with IT infrastructure, operations and applications.</w:t>
      </w:r>
    </w:p>
    <w:p w14:paraId="4D3F9544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Identify and communicate IT audit findings to senior management and clients.</w:t>
      </w:r>
    </w:p>
    <w:p w14:paraId="1B4E2CD2" w14:textId="77777777" w:rsidR="00685AA5" w:rsidRPr="003319F6" w:rsidRDefault="00685AA5" w:rsidP="00685AA5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Collaborate with Team Lead of other FISMA systems to ensure continued compliance with security control inheritance conditions.</w:t>
      </w:r>
    </w:p>
    <w:p w14:paraId="34935152" w14:textId="624E5FC9" w:rsidR="00685AA5" w:rsidRDefault="00685AA5" w:rsidP="00DF1748">
      <w:pPr>
        <w:pStyle w:val="ListParagraph"/>
        <w:numPr>
          <w:ilvl w:val="0"/>
          <w:numId w:val="1"/>
        </w:numPr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Provided best practices on how to efficiently and effectively audit the access controls and configuration management controls.</w:t>
      </w:r>
    </w:p>
    <w:p w14:paraId="73BD8F30" w14:textId="77777777" w:rsidR="00DF1748" w:rsidRPr="00DF1748" w:rsidRDefault="00DF1748" w:rsidP="00DF1748">
      <w:pPr>
        <w:pStyle w:val="ListParagraph"/>
        <w:spacing w:after="180" w:line="252" w:lineRule="auto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</w:p>
    <w:p w14:paraId="12A37F8C" w14:textId="0341279A" w:rsidR="00685AA5" w:rsidRPr="003319F6" w:rsidRDefault="0089691D" w:rsidP="00685AA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color w:val="000000" w:themeColor="text1"/>
          <w:sz w:val="34"/>
          <w:szCs w:val="34"/>
          <w:vertAlign w:val="superscript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34"/>
          <w:szCs w:val="34"/>
          <w:vertAlign w:val="superscript"/>
          <w:lang w:eastAsia="en-GB"/>
        </w:rPr>
        <w:t xml:space="preserve">EDUCATION </w:t>
      </w:r>
    </w:p>
    <w:p w14:paraId="2560DFA6" w14:textId="7A939103" w:rsidR="00685AA5" w:rsidRPr="003319F6" w:rsidRDefault="00723B06" w:rsidP="00685A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Bachelors in Marketing- </w:t>
      </w:r>
      <w:r w:rsidR="00685AA5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 </w:t>
      </w:r>
      <w:r w:rsidR="006A605C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University </w:t>
      </w:r>
      <w:r w:rsidR="0067336A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OF </w:t>
      </w:r>
      <w:r w:rsidR="00685AA5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Ghana</w:t>
      </w:r>
      <w:r w:rsidR="0067336A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 LEGON </w:t>
      </w:r>
      <w:r w:rsidR="00685AA5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 200</w:t>
      </w:r>
      <w:r w:rsidR="0019411C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4</w:t>
      </w:r>
      <w:r w:rsidR="00685AA5" w:rsidRPr="003319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-20</w:t>
      </w:r>
      <w:r w:rsidR="0019411C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08</w:t>
      </w:r>
    </w:p>
    <w:p w14:paraId="618A8C20" w14:textId="374E73B7" w:rsidR="00F92BC0" w:rsidRPr="004220F6" w:rsidRDefault="00685AA5" w:rsidP="00A251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 w:rsidRPr="004220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Associate </w:t>
      </w:r>
      <w:r w:rsidR="00723B06" w:rsidRPr="004220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in Information system Management-</w:t>
      </w:r>
      <w:r w:rsidRPr="004220F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 IPMC, Ghana 2001-2003</w:t>
      </w:r>
    </w:p>
    <w:p w14:paraId="186B86B0" w14:textId="4B532D75" w:rsidR="00D1440E" w:rsidRDefault="00D1440E" w:rsidP="00685AA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color w:val="000000" w:themeColor="text1"/>
          <w:sz w:val="34"/>
          <w:szCs w:val="34"/>
          <w:vertAlign w:val="superscript"/>
          <w:lang w:eastAsia="en-GB"/>
        </w:rPr>
      </w:pPr>
    </w:p>
    <w:p w14:paraId="5103C0E3" w14:textId="77777777" w:rsidR="00124456" w:rsidRDefault="00124456" w:rsidP="00685AA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color w:val="000000" w:themeColor="text1"/>
          <w:sz w:val="34"/>
          <w:szCs w:val="34"/>
          <w:vertAlign w:val="superscript"/>
          <w:lang w:eastAsia="en-GB"/>
        </w:rPr>
      </w:pPr>
    </w:p>
    <w:p w14:paraId="50776EC7" w14:textId="77777777" w:rsidR="00D1440E" w:rsidRDefault="00D1440E" w:rsidP="00685AA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color w:val="000000" w:themeColor="text1"/>
          <w:sz w:val="34"/>
          <w:szCs w:val="34"/>
          <w:vertAlign w:val="superscript"/>
          <w:lang w:eastAsia="en-GB"/>
        </w:rPr>
      </w:pPr>
    </w:p>
    <w:p w14:paraId="4D186883" w14:textId="701AD557" w:rsidR="00685AA5" w:rsidRPr="003319F6" w:rsidRDefault="0089691D" w:rsidP="00685AA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color w:val="000000" w:themeColor="text1"/>
          <w:sz w:val="34"/>
          <w:szCs w:val="34"/>
          <w:vertAlign w:val="superscript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34"/>
          <w:szCs w:val="34"/>
          <w:vertAlign w:val="superscript"/>
          <w:lang w:eastAsia="en-GB"/>
        </w:rPr>
        <w:t>CERTIFICATIONS</w:t>
      </w:r>
    </w:p>
    <w:p w14:paraId="3C6E5902" w14:textId="775CECA5" w:rsidR="00685AA5" w:rsidRPr="003319F6" w:rsidRDefault="00EE2EE0" w:rsidP="00685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Certified Ethical Hacker (CEH)</w:t>
      </w:r>
    </w:p>
    <w:p w14:paraId="24C87F22" w14:textId="4AB5E04A" w:rsidR="00883948" w:rsidRPr="003319F6" w:rsidRDefault="001E1BC2" w:rsidP="00883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Co</w:t>
      </w:r>
      <w:r w:rsidR="00A3698A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mpTIA </w:t>
      </w:r>
      <w:r w:rsidR="00087529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 xml:space="preserve">Security </w:t>
      </w:r>
      <w:r w:rsidR="007C3AD6"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  <w:t>+</w:t>
      </w:r>
    </w:p>
    <w:p w14:paraId="4B05CA86" w14:textId="294BDFCC" w:rsidR="008008CC" w:rsidRPr="003319F6" w:rsidRDefault="008008CC" w:rsidP="007C3AD6">
      <w:pPr>
        <w:pStyle w:val="ListParagraph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</w:p>
    <w:p w14:paraId="6D0AD8C9" w14:textId="08EE0EC7" w:rsidR="00685AA5" w:rsidRPr="00EE3315" w:rsidRDefault="00685AA5" w:rsidP="00EE3315">
      <w:pPr>
        <w:pStyle w:val="ListParagraph"/>
        <w:rPr>
          <w:rFonts w:ascii="Times New Roman" w:hAnsi="Times New Roman" w:cs="Times New Roman"/>
          <w:color w:val="000000" w:themeColor="text1"/>
          <w:sz w:val="34"/>
          <w:szCs w:val="34"/>
          <w:vertAlign w:val="superscript"/>
        </w:rPr>
      </w:pPr>
    </w:p>
    <w:p w14:paraId="542B7AAC" w14:textId="7805454E" w:rsidR="00685AA5" w:rsidRPr="003319F6" w:rsidRDefault="00685AA5" w:rsidP="00685AA5">
      <w:pPr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  <w:r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Reference will be </w:t>
      </w:r>
      <w:r w:rsidR="007D372B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 xml:space="preserve">provided </w:t>
      </w:r>
      <w:r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</w:rPr>
        <w:t>upon Request</w:t>
      </w:r>
    </w:p>
    <w:p w14:paraId="230E08CE" w14:textId="77777777" w:rsidR="00685AA5" w:rsidRPr="003319F6" w:rsidRDefault="00685AA5" w:rsidP="00685AA5">
      <w:pPr>
        <w:jc w:val="both"/>
        <w:rPr>
          <w:rFonts w:ascii="Times New Roman" w:hAnsi="Times New Roman"/>
          <w:color w:val="000000" w:themeColor="text1"/>
          <w:sz w:val="34"/>
          <w:szCs w:val="34"/>
          <w:vertAlign w:val="superscript"/>
          <w:lang w:val="en-US"/>
        </w:rPr>
      </w:pPr>
    </w:p>
    <w:p w14:paraId="6C748506" w14:textId="77777777" w:rsidR="00685AA5" w:rsidRPr="003319F6" w:rsidRDefault="00685AA5" w:rsidP="00685A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34"/>
          <w:szCs w:val="34"/>
          <w:vertAlign w:val="superscript"/>
          <w:lang w:val="en-US"/>
        </w:rPr>
      </w:pPr>
      <w:r w:rsidRPr="003319F6">
        <w:rPr>
          <w:rFonts w:ascii="Times New Roman" w:hAnsi="Times New Roman"/>
          <w:color w:val="000000" w:themeColor="text1"/>
          <w:sz w:val="34"/>
          <w:szCs w:val="34"/>
          <w:vertAlign w:val="superscript"/>
          <w:lang w:val="en-US"/>
        </w:rPr>
        <w:t xml:space="preserve">- </w:t>
      </w:r>
    </w:p>
    <w:p w14:paraId="4D202E3E" w14:textId="77777777" w:rsidR="00935321" w:rsidRPr="003319F6" w:rsidRDefault="00000000" w:rsidP="00685AA5">
      <w:pPr>
        <w:rPr>
          <w:rFonts w:ascii="Times New Roman" w:hAnsi="Times New Roman"/>
          <w:color w:val="000000" w:themeColor="text1"/>
          <w:sz w:val="34"/>
          <w:szCs w:val="34"/>
          <w:vertAlign w:val="superscript"/>
        </w:rPr>
      </w:pPr>
    </w:p>
    <w:sectPr w:rsidR="00935321" w:rsidRPr="003319F6" w:rsidSect="0074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277C"/>
    <w:multiLevelType w:val="hybridMultilevel"/>
    <w:tmpl w:val="CFD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0A1"/>
    <w:multiLevelType w:val="hybridMultilevel"/>
    <w:tmpl w:val="3978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351E"/>
    <w:multiLevelType w:val="hybridMultilevel"/>
    <w:tmpl w:val="160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43D5"/>
    <w:multiLevelType w:val="hybridMultilevel"/>
    <w:tmpl w:val="A2F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4F55"/>
    <w:multiLevelType w:val="hybridMultilevel"/>
    <w:tmpl w:val="5B00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744E"/>
    <w:multiLevelType w:val="hybridMultilevel"/>
    <w:tmpl w:val="292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C02F1"/>
    <w:multiLevelType w:val="hybridMultilevel"/>
    <w:tmpl w:val="0D9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4A39"/>
    <w:multiLevelType w:val="hybridMultilevel"/>
    <w:tmpl w:val="359E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8E95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6264">
    <w:abstractNumId w:val="4"/>
  </w:num>
  <w:num w:numId="2" w16cid:durableId="1737506718">
    <w:abstractNumId w:val="5"/>
  </w:num>
  <w:num w:numId="3" w16cid:durableId="530342949">
    <w:abstractNumId w:val="6"/>
  </w:num>
  <w:num w:numId="4" w16cid:durableId="1924754117">
    <w:abstractNumId w:val="1"/>
  </w:num>
  <w:num w:numId="5" w16cid:durableId="792868323">
    <w:abstractNumId w:val="7"/>
  </w:num>
  <w:num w:numId="6" w16cid:durableId="646132728">
    <w:abstractNumId w:val="0"/>
  </w:num>
  <w:num w:numId="7" w16cid:durableId="171336357">
    <w:abstractNumId w:val="2"/>
  </w:num>
  <w:num w:numId="8" w16cid:durableId="198878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A5"/>
    <w:rsid w:val="00016337"/>
    <w:rsid w:val="000328A7"/>
    <w:rsid w:val="00080989"/>
    <w:rsid w:val="00080B79"/>
    <w:rsid w:val="00087529"/>
    <w:rsid w:val="000A61E3"/>
    <w:rsid w:val="000A7BE1"/>
    <w:rsid w:val="000E6FCA"/>
    <w:rsid w:val="0011456B"/>
    <w:rsid w:val="00115A74"/>
    <w:rsid w:val="00124456"/>
    <w:rsid w:val="001250FF"/>
    <w:rsid w:val="00164FE5"/>
    <w:rsid w:val="0017311F"/>
    <w:rsid w:val="0019411C"/>
    <w:rsid w:val="001A27D1"/>
    <w:rsid w:val="001A6899"/>
    <w:rsid w:val="001C1AE8"/>
    <w:rsid w:val="001D0CC5"/>
    <w:rsid w:val="001D318A"/>
    <w:rsid w:val="001E13E3"/>
    <w:rsid w:val="001E1BC2"/>
    <w:rsid w:val="001E7C03"/>
    <w:rsid w:val="001F5610"/>
    <w:rsid w:val="00203878"/>
    <w:rsid w:val="00217C61"/>
    <w:rsid w:val="002209E5"/>
    <w:rsid w:val="00237ACF"/>
    <w:rsid w:val="0024050A"/>
    <w:rsid w:val="00243271"/>
    <w:rsid w:val="00246D2B"/>
    <w:rsid w:val="00264A81"/>
    <w:rsid w:val="0027043D"/>
    <w:rsid w:val="0027389D"/>
    <w:rsid w:val="00281E60"/>
    <w:rsid w:val="0028686C"/>
    <w:rsid w:val="002A269A"/>
    <w:rsid w:val="002A76CD"/>
    <w:rsid w:val="002B36D4"/>
    <w:rsid w:val="002D4483"/>
    <w:rsid w:val="00321AE2"/>
    <w:rsid w:val="003319F6"/>
    <w:rsid w:val="00357C7D"/>
    <w:rsid w:val="00363139"/>
    <w:rsid w:val="003727C4"/>
    <w:rsid w:val="00391E6E"/>
    <w:rsid w:val="003949A3"/>
    <w:rsid w:val="003A60A4"/>
    <w:rsid w:val="003C0DF1"/>
    <w:rsid w:val="003D129B"/>
    <w:rsid w:val="003D7B1E"/>
    <w:rsid w:val="003E2D93"/>
    <w:rsid w:val="00420AEE"/>
    <w:rsid w:val="004220F6"/>
    <w:rsid w:val="004313D7"/>
    <w:rsid w:val="0043698E"/>
    <w:rsid w:val="004420B2"/>
    <w:rsid w:val="00444054"/>
    <w:rsid w:val="0044633E"/>
    <w:rsid w:val="0046585D"/>
    <w:rsid w:val="004744C5"/>
    <w:rsid w:val="004751AF"/>
    <w:rsid w:val="0048083E"/>
    <w:rsid w:val="004B3A9B"/>
    <w:rsid w:val="004C494C"/>
    <w:rsid w:val="004D2BEC"/>
    <w:rsid w:val="004D5A47"/>
    <w:rsid w:val="004F521C"/>
    <w:rsid w:val="005030E9"/>
    <w:rsid w:val="00505532"/>
    <w:rsid w:val="00506192"/>
    <w:rsid w:val="00507170"/>
    <w:rsid w:val="00522402"/>
    <w:rsid w:val="00547BF6"/>
    <w:rsid w:val="00570559"/>
    <w:rsid w:val="00583675"/>
    <w:rsid w:val="00587EE4"/>
    <w:rsid w:val="0059175B"/>
    <w:rsid w:val="005B0E06"/>
    <w:rsid w:val="005B5F20"/>
    <w:rsid w:val="005B60C6"/>
    <w:rsid w:val="005D0D4A"/>
    <w:rsid w:val="005D623D"/>
    <w:rsid w:val="005E25F1"/>
    <w:rsid w:val="005E7C82"/>
    <w:rsid w:val="00607555"/>
    <w:rsid w:val="00614D64"/>
    <w:rsid w:val="00641B09"/>
    <w:rsid w:val="00644879"/>
    <w:rsid w:val="006559A3"/>
    <w:rsid w:val="00666AE6"/>
    <w:rsid w:val="0067336A"/>
    <w:rsid w:val="006847B7"/>
    <w:rsid w:val="00685AA5"/>
    <w:rsid w:val="006903BA"/>
    <w:rsid w:val="006A058E"/>
    <w:rsid w:val="006A605C"/>
    <w:rsid w:val="006C248D"/>
    <w:rsid w:val="006E3BA6"/>
    <w:rsid w:val="006F4551"/>
    <w:rsid w:val="006F57CF"/>
    <w:rsid w:val="00713F8E"/>
    <w:rsid w:val="0071538C"/>
    <w:rsid w:val="00723B06"/>
    <w:rsid w:val="00724543"/>
    <w:rsid w:val="00726918"/>
    <w:rsid w:val="00741926"/>
    <w:rsid w:val="00757AC1"/>
    <w:rsid w:val="007851DC"/>
    <w:rsid w:val="00786362"/>
    <w:rsid w:val="007A52E7"/>
    <w:rsid w:val="007C3AD6"/>
    <w:rsid w:val="007C7CFC"/>
    <w:rsid w:val="007D372B"/>
    <w:rsid w:val="007D6B46"/>
    <w:rsid w:val="007D6E99"/>
    <w:rsid w:val="007E2979"/>
    <w:rsid w:val="007F0598"/>
    <w:rsid w:val="007F511C"/>
    <w:rsid w:val="008008CC"/>
    <w:rsid w:val="00800C21"/>
    <w:rsid w:val="00840C59"/>
    <w:rsid w:val="00842EEF"/>
    <w:rsid w:val="00883948"/>
    <w:rsid w:val="0088692F"/>
    <w:rsid w:val="0089691D"/>
    <w:rsid w:val="008C18A9"/>
    <w:rsid w:val="008D00BA"/>
    <w:rsid w:val="0092205B"/>
    <w:rsid w:val="00926353"/>
    <w:rsid w:val="00932D9E"/>
    <w:rsid w:val="00934AF1"/>
    <w:rsid w:val="009449D8"/>
    <w:rsid w:val="00945391"/>
    <w:rsid w:val="00947E9B"/>
    <w:rsid w:val="0095207E"/>
    <w:rsid w:val="009520D6"/>
    <w:rsid w:val="00960959"/>
    <w:rsid w:val="00975CCC"/>
    <w:rsid w:val="009A2A0F"/>
    <w:rsid w:val="009B227E"/>
    <w:rsid w:val="009B482B"/>
    <w:rsid w:val="009B5025"/>
    <w:rsid w:val="009C59FB"/>
    <w:rsid w:val="009F1575"/>
    <w:rsid w:val="00A02915"/>
    <w:rsid w:val="00A03525"/>
    <w:rsid w:val="00A0702D"/>
    <w:rsid w:val="00A2392A"/>
    <w:rsid w:val="00A23FBB"/>
    <w:rsid w:val="00A302BE"/>
    <w:rsid w:val="00A32A7F"/>
    <w:rsid w:val="00A3698A"/>
    <w:rsid w:val="00A369A1"/>
    <w:rsid w:val="00A46C78"/>
    <w:rsid w:val="00A54547"/>
    <w:rsid w:val="00A55CB5"/>
    <w:rsid w:val="00A57057"/>
    <w:rsid w:val="00A60671"/>
    <w:rsid w:val="00A62B9D"/>
    <w:rsid w:val="00A6314C"/>
    <w:rsid w:val="00A63956"/>
    <w:rsid w:val="00A90F19"/>
    <w:rsid w:val="00A97121"/>
    <w:rsid w:val="00AD3708"/>
    <w:rsid w:val="00AD71EC"/>
    <w:rsid w:val="00AE0E5D"/>
    <w:rsid w:val="00AE6B59"/>
    <w:rsid w:val="00B11E1C"/>
    <w:rsid w:val="00B12BA2"/>
    <w:rsid w:val="00B2431B"/>
    <w:rsid w:val="00B3162D"/>
    <w:rsid w:val="00B31F54"/>
    <w:rsid w:val="00B41E0A"/>
    <w:rsid w:val="00B54488"/>
    <w:rsid w:val="00B90E24"/>
    <w:rsid w:val="00B94B8A"/>
    <w:rsid w:val="00BA3C7A"/>
    <w:rsid w:val="00BA42AE"/>
    <w:rsid w:val="00BC002B"/>
    <w:rsid w:val="00BC26AE"/>
    <w:rsid w:val="00BC7963"/>
    <w:rsid w:val="00BD5BD0"/>
    <w:rsid w:val="00BF7A28"/>
    <w:rsid w:val="00C325F4"/>
    <w:rsid w:val="00C35E66"/>
    <w:rsid w:val="00C43DF7"/>
    <w:rsid w:val="00C63994"/>
    <w:rsid w:val="00C71318"/>
    <w:rsid w:val="00C71D79"/>
    <w:rsid w:val="00C861A8"/>
    <w:rsid w:val="00CB02D7"/>
    <w:rsid w:val="00CB26A8"/>
    <w:rsid w:val="00CC6CCC"/>
    <w:rsid w:val="00CD7D3A"/>
    <w:rsid w:val="00CF32E6"/>
    <w:rsid w:val="00D12F97"/>
    <w:rsid w:val="00D1440E"/>
    <w:rsid w:val="00D3531B"/>
    <w:rsid w:val="00D541E6"/>
    <w:rsid w:val="00D55792"/>
    <w:rsid w:val="00D73A42"/>
    <w:rsid w:val="00D97018"/>
    <w:rsid w:val="00DA05FC"/>
    <w:rsid w:val="00DA24E9"/>
    <w:rsid w:val="00DA3181"/>
    <w:rsid w:val="00DB432B"/>
    <w:rsid w:val="00DE7103"/>
    <w:rsid w:val="00DF1748"/>
    <w:rsid w:val="00E016B1"/>
    <w:rsid w:val="00E03BCA"/>
    <w:rsid w:val="00E04C0A"/>
    <w:rsid w:val="00E12FA8"/>
    <w:rsid w:val="00E37A9E"/>
    <w:rsid w:val="00E46E06"/>
    <w:rsid w:val="00E47657"/>
    <w:rsid w:val="00E604E4"/>
    <w:rsid w:val="00E646A8"/>
    <w:rsid w:val="00E729A6"/>
    <w:rsid w:val="00E853B3"/>
    <w:rsid w:val="00EA1472"/>
    <w:rsid w:val="00EA6580"/>
    <w:rsid w:val="00EB325E"/>
    <w:rsid w:val="00EB360F"/>
    <w:rsid w:val="00EB39D9"/>
    <w:rsid w:val="00EB6190"/>
    <w:rsid w:val="00EC4360"/>
    <w:rsid w:val="00EE294F"/>
    <w:rsid w:val="00EE2EE0"/>
    <w:rsid w:val="00EE3315"/>
    <w:rsid w:val="00EF73F0"/>
    <w:rsid w:val="00EF742E"/>
    <w:rsid w:val="00F00C48"/>
    <w:rsid w:val="00F23C1F"/>
    <w:rsid w:val="00F24198"/>
    <w:rsid w:val="00F25070"/>
    <w:rsid w:val="00F334A7"/>
    <w:rsid w:val="00F41EF4"/>
    <w:rsid w:val="00F5149C"/>
    <w:rsid w:val="00F54C4D"/>
    <w:rsid w:val="00F5718A"/>
    <w:rsid w:val="00F72EE2"/>
    <w:rsid w:val="00F92BC0"/>
    <w:rsid w:val="00FB5130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6C2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85AA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685AA5"/>
    <w:pPr>
      <w:keepNext/>
      <w:keepLines/>
      <w:spacing w:after="80" w:line="252" w:lineRule="auto"/>
      <w:outlineLvl w:val="2"/>
    </w:pPr>
    <w:rPr>
      <w:rFonts w:asciiTheme="minorHAnsi" w:eastAsiaTheme="minorEastAsia" w:hAnsiTheme="minorHAnsi" w:cstheme="minorBidi"/>
      <w:caps/>
      <w:color w:val="7F7F7F" w:themeColor="text1" w:themeTint="80"/>
      <w:sz w:val="18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A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5AA5"/>
    <w:rPr>
      <w:rFonts w:eastAsiaTheme="minorEastAsia"/>
      <w:caps/>
      <w:color w:val="7F7F7F" w:themeColor="text1" w:themeTint="80"/>
      <w:sz w:val="18"/>
      <w:szCs w:val="17"/>
      <w:lang w:eastAsia="ja-JP"/>
    </w:rPr>
  </w:style>
  <w:style w:type="character" w:styleId="Hyperlink">
    <w:name w:val="Hyperlink"/>
    <w:basedOn w:val="DefaultParagraphFont"/>
    <w:uiPriority w:val="99"/>
    <w:unhideWhenUsed/>
    <w:rsid w:val="00685AA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85AA5"/>
  </w:style>
  <w:style w:type="paragraph" w:styleId="ListParagraph">
    <w:name w:val="List Paragraph"/>
    <w:basedOn w:val="Normal"/>
    <w:uiPriority w:val="34"/>
    <w:qFormat/>
    <w:rsid w:val="00685A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685AA5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5"/>
    <w:qFormat/>
    <w:rsid w:val="00685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PAPA KWAME ARKO</vt:lpstr>
      <vt:lpstr>120 DEKRUIF PL, 11k</vt:lpstr>
      <vt:lpstr>BRONX, NY. 10475</vt:lpstr>
      <vt:lpstr>pkarko@outlook.com</vt:lpstr>
      <vt:lpstr/>
      <vt:lpstr/>
      <vt:lpstr>        MEDPRO Research.  it SECURITY ANALYST (contract)</vt:lpstr>
      <vt:lpstr>        July. 2013- AU.2015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kwame arko</dc:creator>
  <cp:keywords/>
  <dc:description/>
  <cp:lastModifiedBy>Nana Afriyie Osei-Poku</cp:lastModifiedBy>
  <cp:revision>42</cp:revision>
  <dcterms:created xsi:type="dcterms:W3CDTF">2022-09-21T11:10:00Z</dcterms:created>
  <dcterms:modified xsi:type="dcterms:W3CDTF">2022-10-06T01:37:00Z</dcterms:modified>
</cp:coreProperties>
</file>